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4E50" w:rsidRDefault="00024E50">
      <w:pPr>
        <w:pStyle w:val="Title"/>
        <w:spacing w:after="320"/>
      </w:pPr>
    </w:p>
    <w:p w14:paraId="00000002" w14:textId="77777777" w:rsidR="00024E50" w:rsidRDefault="00CA6018">
      <w:pPr>
        <w:pStyle w:val="Title"/>
        <w:spacing w:after="320"/>
      </w:pPr>
      <w:r>
        <w:rPr>
          <w:rFonts w:ascii="Times New Roman" w:eastAsia="Times New Roman" w:hAnsi="Times New Roman" w:cs="Times New Roman"/>
          <w:b/>
          <w:sz w:val="24"/>
          <w:szCs w:val="24"/>
        </w:rPr>
        <w:t>Graduate Course Approval Supplemental Form</w:t>
      </w:r>
    </w:p>
    <w:p w14:paraId="00000003" w14:textId="481DF013" w:rsidR="00024E50" w:rsidRDefault="00CA6018">
      <w:pPr>
        <w:tabs>
          <w:tab w:val="left" w:pos="405"/>
        </w:tabs>
        <w:spacing w:after="360"/>
      </w:pPr>
      <w:r>
        <w:rPr>
          <w:sz w:val="22"/>
          <w:szCs w:val="22"/>
        </w:rPr>
        <w:t xml:space="preserve">Please </w:t>
      </w:r>
      <w:r w:rsidR="000B623D">
        <w:rPr>
          <w:sz w:val="22"/>
          <w:szCs w:val="22"/>
        </w:rPr>
        <w:t>provide a response</w:t>
      </w:r>
      <w:r>
        <w:rPr>
          <w:sz w:val="22"/>
          <w:szCs w:val="22"/>
        </w:rPr>
        <w:t xml:space="preserve"> addressing each of the following</w:t>
      </w:r>
      <w:bookmarkStart w:id="0" w:name="gjdgxs" w:colFirst="0" w:colLast="0"/>
      <w:bookmarkEnd w:id="0"/>
      <w:r w:rsidR="000B623D">
        <w:rPr>
          <w:sz w:val="22"/>
          <w:szCs w:val="22"/>
        </w:rPr>
        <w:t>:</w:t>
      </w:r>
      <w:bookmarkStart w:id="1" w:name="_GoBack"/>
      <w:bookmarkEnd w:id="1"/>
    </w:p>
    <w:p w14:paraId="00000004" w14:textId="77777777" w:rsidR="00024E50" w:rsidRDefault="00CA6018">
      <w:pPr>
        <w:numPr>
          <w:ilvl w:val="0"/>
          <w:numId w:val="1"/>
        </w:numPr>
        <w:spacing w:after="240"/>
        <w:ind w:left="540" w:hanging="360"/>
      </w:pPr>
      <w:r>
        <w:rPr>
          <w:sz w:val="22"/>
          <w:szCs w:val="22"/>
        </w:rPr>
        <w:t xml:space="preserve">Who is the intended audience for this course (e.g., first year graduate students, advanced graduate students)? </w:t>
      </w:r>
    </w:p>
    <w:p w14:paraId="00000005" w14:textId="77777777" w:rsidR="00024E50" w:rsidRDefault="00024E50">
      <w:pPr>
        <w:spacing w:after="240"/>
        <w:ind w:left="540"/>
      </w:pPr>
    </w:p>
    <w:p w14:paraId="00000006" w14:textId="77777777" w:rsidR="00024E50" w:rsidRDefault="00CA6018">
      <w:pPr>
        <w:numPr>
          <w:ilvl w:val="0"/>
          <w:numId w:val="1"/>
        </w:numPr>
        <w:spacing w:after="240"/>
        <w:ind w:left="540" w:hanging="360"/>
      </w:pPr>
      <w:r>
        <w:rPr>
          <w:sz w:val="22"/>
          <w:szCs w:val="22"/>
        </w:rPr>
        <w:t>What is the nature of this course?</w:t>
      </w:r>
    </w:p>
    <w:p w14:paraId="00000007" w14:textId="77777777" w:rsidR="00024E50" w:rsidRDefault="00024E50">
      <w:pPr>
        <w:spacing w:after="240"/>
        <w:ind w:left="540"/>
      </w:pPr>
    </w:p>
    <w:p w14:paraId="00000008" w14:textId="77777777" w:rsidR="00024E50" w:rsidRDefault="00CA6018">
      <w:pPr>
        <w:numPr>
          <w:ilvl w:val="0"/>
          <w:numId w:val="1"/>
        </w:numPr>
        <w:spacing w:after="240"/>
        <w:ind w:left="547" w:hanging="360"/>
      </w:pPr>
      <w:r>
        <w:rPr>
          <w:sz w:val="22"/>
          <w:szCs w:val="22"/>
        </w:rPr>
        <w:t>Does this course have unusual resource requirements, including course support and specialized facilities fo</w:t>
      </w:r>
      <w:r>
        <w:rPr>
          <w:sz w:val="22"/>
          <w:szCs w:val="22"/>
        </w:rPr>
        <w:t>r divisional review? Yes or No?  If yes, please provide justification.</w:t>
      </w:r>
    </w:p>
    <w:p w14:paraId="00000009" w14:textId="77777777" w:rsidR="00024E50" w:rsidRDefault="00024E50">
      <w:pPr>
        <w:spacing w:after="240"/>
        <w:ind w:left="540"/>
        <w:rPr>
          <w:sz w:val="22"/>
          <w:szCs w:val="22"/>
        </w:rPr>
      </w:pPr>
    </w:p>
    <w:p w14:paraId="0000000A" w14:textId="77777777" w:rsidR="00024E50" w:rsidRDefault="00CA6018">
      <w:pPr>
        <w:numPr>
          <w:ilvl w:val="0"/>
          <w:numId w:val="1"/>
        </w:numPr>
        <w:spacing w:after="240"/>
        <w:ind w:left="547" w:hanging="360"/>
      </w:pPr>
      <w:r>
        <w:rPr>
          <w:sz w:val="22"/>
          <w:szCs w:val="22"/>
        </w:rPr>
        <w:t>Does this course replace or supersede an existing course or courses? Yes or No?  If yes, please provide justification.</w:t>
      </w:r>
    </w:p>
    <w:p w14:paraId="0000000B" w14:textId="77777777" w:rsidR="00024E50" w:rsidRDefault="00024E50">
      <w:pPr>
        <w:spacing w:after="240"/>
        <w:rPr>
          <w:sz w:val="22"/>
          <w:szCs w:val="22"/>
        </w:rPr>
      </w:pPr>
    </w:p>
    <w:p w14:paraId="0000000C" w14:textId="77777777" w:rsidR="00024E50" w:rsidRDefault="00024E50">
      <w:pPr>
        <w:ind w:left="2520"/>
        <w:rPr>
          <w:color w:val="000000"/>
        </w:rPr>
      </w:pPr>
    </w:p>
    <w:p w14:paraId="0000000D" w14:textId="77777777" w:rsidR="00024E50" w:rsidRDefault="00CA6018">
      <w:pPr>
        <w:numPr>
          <w:ilvl w:val="0"/>
          <w:numId w:val="1"/>
        </w:numPr>
        <w:spacing w:after="240"/>
        <w:ind w:left="540" w:hanging="360"/>
      </w:pPr>
      <w:r>
        <w:rPr>
          <w:sz w:val="22"/>
          <w:szCs w:val="22"/>
        </w:rPr>
        <w:t xml:space="preserve"> Is this course similar to, or does it overlap with, another co</w:t>
      </w:r>
      <w:r>
        <w:rPr>
          <w:sz w:val="22"/>
          <w:szCs w:val="22"/>
        </w:rPr>
        <w:t>urse on campus? Yes or no. If yes, can a student receive credit for both courses, and why?</w:t>
      </w:r>
    </w:p>
    <w:p w14:paraId="0000000E" w14:textId="77777777" w:rsidR="00024E50" w:rsidRDefault="00024E50">
      <w:pPr>
        <w:spacing w:after="240"/>
        <w:ind w:left="540"/>
        <w:rPr>
          <w:sz w:val="22"/>
          <w:szCs w:val="22"/>
        </w:rPr>
      </w:pPr>
    </w:p>
    <w:p w14:paraId="0000000F" w14:textId="77777777" w:rsidR="00024E50" w:rsidRDefault="00CA6018">
      <w:pPr>
        <w:numPr>
          <w:ilvl w:val="0"/>
          <w:numId w:val="1"/>
        </w:numPr>
        <w:spacing w:after="240"/>
        <w:ind w:left="540" w:hanging="360"/>
      </w:pPr>
      <w:r>
        <w:rPr>
          <w:sz w:val="22"/>
          <w:szCs w:val="22"/>
        </w:rPr>
        <w:t xml:space="preserve">Will this course be taught in conjunction with a lower division course? Yes or no? </w:t>
      </w:r>
    </w:p>
    <w:p w14:paraId="00000010" w14:textId="77777777" w:rsidR="00024E50" w:rsidRDefault="00024E50">
      <w:pPr>
        <w:pBdr>
          <w:top w:val="nil"/>
          <w:left w:val="nil"/>
          <w:bottom w:val="nil"/>
          <w:right w:val="nil"/>
          <w:between w:val="nil"/>
        </w:pBdr>
        <w:ind w:left="720" w:hanging="720"/>
        <w:rPr>
          <w:color w:val="000000"/>
          <w:sz w:val="22"/>
          <w:szCs w:val="22"/>
        </w:rPr>
      </w:pPr>
    </w:p>
    <w:p w14:paraId="00000011" w14:textId="77777777" w:rsidR="00024E50" w:rsidRDefault="00CA6018">
      <w:pPr>
        <w:spacing w:after="240"/>
        <w:ind w:left="540"/>
        <w:rPr>
          <w:sz w:val="22"/>
          <w:szCs w:val="22"/>
        </w:rPr>
      </w:pPr>
      <w:r>
        <w:rPr>
          <w:sz w:val="22"/>
          <w:szCs w:val="22"/>
        </w:rPr>
        <w:t xml:space="preserve">If yes, please continue below. If no, this form is completed, and can be sent to </w:t>
      </w:r>
      <w:hyperlink r:id="rId7">
        <w:r>
          <w:rPr>
            <w:sz w:val="22"/>
            <w:szCs w:val="22"/>
          </w:rPr>
          <w:t>instruct@rt.soe.ucsc.edu</w:t>
        </w:r>
      </w:hyperlink>
      <w:r>
        <w:rPr>
          <w:sz w:val="22"/>
          <w:szCs w:val="22"/>
        </w:rPr>
        <w:t xml:space="preserve"> along with the Course Proposal form, and your syllabus. </w:t>
      </w:r>
    </w:p>
    <w:p w14:paraId="00000012" w14:textId="77777777" w:rsidR="00024E50" w:rsidRDefault="00CA6018">
      <w:pPr>
        <w:spacing w:after="240"/>
        <w:ind w:left="180"/>
        <w:rPr>
          <w:color w:val="000000"/>
        </w:rPr>
      </w:pPr>
      <w:r>
        <w:rPr>
          <w:color w:val="000000"/>
        </w:rPr>
        <w:t>If the course is to have graduate students</w:t>
      </w:r>
      <w:r>
        <w:rPr>
          <w:color w:val="000000"/>
        </w:rPr>
        <w:t xml:space="preserve"> and undergraduate students taught in conjunction, you must clarify how the proposed course has clearly differentiated and unique performance criteria, requirements, and goals. According to Systemwide Academic Senate Regulation 762, “No student, by merely </w:t>
      </w:r>
      <w:r>
        <w:rPr>
          <w:color w:val="000000"/>
        </w:rPr>
        <w:t xml:space="preserve">performing additional work, may receive…graduate credit for any undergraduate course. Related courses may share lectures, laboratories, or other common content but must have clearly differentiated and unique performance criteria, requirements, and goals.” </w:t>
      </w:r>
      <w:r>
        <w:rPr>
          <w:color w:val="000000"/>
        </w:rPr>
        <w:t>Please upload a syllabus (or syllabi) with the button at the end of the Syllabus Requirements section that makes these distinctions clear.</w:t>
      </w:r>
    </w:p>
    <w:p w14:paraId="00000013" w14:textId="77777777" w:rsidR="00024E50" w:rsidRDefault="00024E50">
      <w:pPr>
        <w:spacing w:after="240"/>
        <w:ind w:left="180"/>
        <w:rPr>
          <w:sz w:val="22"/>
          <w:szCs w:val="22"/>
        </w:rPr>
      </w:pPr>
    </w:p>
    <w:p w14:paraId="00000014" w14:textId="77777777" w:rsidR="00024E50" w:rsidRDefault="00CA6018">
      <w:pPr>
        <w:tabs>
          <w:tab w:val="left" w:pos="10"/>
        </w:tabs>
        <w:spacing w:after="240"/>
        <w:ind w:left="1080" w:hanging="360"/>
        <w:rPr>
          <w:sz w:val="22"/>
          <w:szCs w:val="22"/>
        </w:rPr>
      </w:pPr>
      <w:r>
        <w:rPr>
          <w:sz w:val="22"/>
          <w:szCs w:val="22"/>
        </w:rPr>
        <w:t xml:space="preserve">6a. What are the clearly differentiated and unique </w:t>
      </w:r>
      <w:r>
        <w:rPr>
          <w:sz w:val="22"/>
          <w:szCs w:val="22"/>
          <w:u w:val="single"/>
        </w:rPr>
        <w:t>goals</w:t>
      </w:r>
      <w:r>
        <w:rPr>
          <w:sz w:val="22"/>
          <w:szCs w:val="22"/>
        </w:rPr>
        <w:t xml:space="preserve"> of the graduate course?</w:t>
      </w:r>
    </w:p>
    <w:p w14:paraId="00000015" w14:textId="77777777" w:rsidR="00024E50" w:rsidRDefault="00024E50">
      <w:pPr>
        <w:tabs>
          <w:tab w:val="left" w:pos="10"/>
        </w:tabs>
        <w:spacing w:after="240"/>
        <w:ind w:left="1080" w:hanging="360"/>
      </w:pPr>
    </w:p>
    <w:p w14:paraId="00000016" w14:textId="77777777" w:rsidR="00024E50" w:rsidRDefault="00CA6018">
      <w:pPr>
        <w:tabs>
          <w:tab w:val="left" w:pos="10"/>
        </w:tabs>
        <w:spacing w:after="240"/>
        <w:ind w:left="1080" w:hanging="360"/>
        <w:rPr>
          <w:sz w:val="22"/>
          <w:szCs w:val="22"/>
        </w:rPr>
      </w:pPr>
      <w:r>
        <w:rPr>
          <w:sz w:val="22"/>
          <w:szCs w:val="22"/>
        </w:rPr>
        <w:t>6b. What are the clearly different</w:t>
      </w:r>
      <w:r>
        <w:rPr>
          <w:sz w:val="22"/>
          <w:szCs w:val="22"/>
        </w:rPr>
        <w:t xml:space="preserve">iated and unique </w:t>
      </w:r>
      <w:r>
        <w:rPr>
          <w:sz w:val="22"/>
          <w:szCs w:val="22"/>
          <w:u w:val="single"/>
        </w:rPr>
        <w:t>requirements</w:t>
      </w:r>
      <w:r>
        <w:rPr>
          <w:sz w:val="22"/>
          <w:szCs w:val="22"/>
        </w:rPr>
        <w:t xml:space="preserve"> of the graduate course?</w:t>
      </w:r>
    </w:p>
    <w:p w14:paraId="00000017" w14:textId="77777777" w:rsidR="00024E50" w:rsidRDefault="00024E50">
      <w:pPr>
        <w:tabs>
          <w:tab w:val="left" w:pos="10"/>
        </w:tabs>
        <w:spacing w:after="240"/>
        <w:ind w:left="1080" w:hanging="360"/>
      </w:pPr>
    </w:p>
    <w:p w14:paraId="00000018" w14:textId="77777777" w:rsidR="00024E50" w:rsidRDefault="00CA6018">
      <w:pPr>
        <w:tabs>
          <w:tab w:val="left" w:pos="10"/>
        </w:tabs>
        <w:spacing w:after="240"/>
        <w:ind w:left="1080" w:hanging="360"/>
      </w:pPr>
      <w:r>
        <w:rPr>
          <w:sz w:val="22"/>
          <w:szCs w:val="22"/>
        </w:rPr>
        <w:t xml:space="preserve">6c. What are the clearly differentiated and unique </w:t>
      </w:r>
      <w:r>
        <w:rPr>
          <w:sz w:val="22"/>
          <w:szCs w:val="22"/>
          <w:u w:val="single"/>
        </w:rPr>
        <w:t>performance criteria</w:t>
      </w:r>
      <w:r>
        <w:rPr>
          <w:sz w:val="22"/>
          <w:szCs w:val="22"/>
        </w:rPr>
        <w:t xml:space="preserve"> of the graduate course?</w:t>
      </w:r>
    </w:p>
    <w:p w14:paraId="00000019" w14:textId="77777777" w:rsidR="00024E50" w:rsidRDefault="00024E50">
      <w:pPr>
        <w:spacing w:after="240"/>
        <w:ind w:left="180"/>
        <w:rPr>
          <w:sz w:val="22"/>
          <w:szCs w:val="22"/>
        </w:rPr>
      </w:pPr>
    </w:p>
    <w:p w14:paraId="0000001A" w14:textId="77777777" w:rsidR="00024E50" w:rsidRDefault="00CA6018">
      <w:pPr>
        <w:rPr>
          <w:color w:val="000000"/>
        </w:rPr>
      </w:pPr>
      <w:r>
        <w:t>Syllabus requirements</w:t>
      </w:r>
    </w:p>
    <w:p w14:paraId="0000001B" w14:textId="77777777" w:rsidR="00024E50" w:rsidRDefault="00CA6018">
      <w:r>
        <w:t> </w:t>
      </w:r>
    </w:p>
    <w:p w14:paraId="0000001C" w14:textId="77777777" w:rsidR="00024E50" w:rsidRDefault="00CA6018">
      <w:pPr>
        <w:pBdr>
          <w:top w:val="nil"/>
          <w:left w:val="nil"/>
          <w:bottom w:val="nil"/>
          <w:right w:val="nil"/>
          <w:between w:val="nil"/>
        </w:pBdr>
        <w:ind w:left="300"/>
        <w:rPr>
          <w:color w:val="5D5D5D"/>
          <w:sz w:val="22"/>
          <w:szCs w:val="22"/>
        </w:rPr>
      </w:pPr>
      <w:r>
        <w:rPr>
          <w:b/>
          <w:color w:val="5D5D5D"/>
          <w:sz w:val="22"/>
          <w:szCs w:val="22"/>
        </w:rPr>
        <w:t>Syllabus requirements </w:t>
      </w:r>
    </w:p>
    <w:p w14:paraId="0000001D" w14:textId="77777777" w:rsidR="00024E50" w:rsidRDefault="00CA6018">
      <w:pPr>
        <w:pBdr>
          <w:top w:val="nil"/>
          <w:left w:val="nil"/>
          <w:bottom w:val="nil"/>
          <w:right w:val="nil"/>
          <w:between w:val="nil"/>
        </w:pBdr>
        <w:ind w:left="300"/>
        <w:rPr>
          <w:color w:val="5D5D5D"/>
          <w:sz w:val="22"/>
          <w:szCs w:val="22"/>
        </w:rPr>
      </w:pPr>
      <w:r>
        <w:rPr>
          <w:color w:val="5D5D5D"/>
          <w:sz w:val="22"/>
          <w:szCs w:val="22"/>
        </w:rPr>
        <w:t>If the uploaded syllabus is missing one or more of the elements below, course approval will be delayed until a completed syllabus is submitted.</w:t>
      </w:r>
    </w:p>
    <w:p w14:paraId="0000001E" w14:textId="77777777" w:rsidR="00024E50" w:rsidRDefault="00CA6018">
      <w:pPr>
        <w:pBdr>
          <w:top w:val="nil"/>
          <w:left w:val="nil"/>
          <w:bottom w:val="nil"/>
          <w:right w:val="nil"/>
          <w:between w:val="nil"/>
        </w:pBdr>
        <w:ind w:left="300"/>
        <w:rPr>
          <w:color w:val="5D5D5D"/>
          <w:sz w:val="22"/>
          <w:szCs w:val="22"/>
        </w:rPr>
      </w:pPr>
      <w:r>
        <w:rPr>
          <w:color w:val="5D5D5D"/>
          <w:sz w:val="22"/>
          <w:szCs w:val="22"/>
        </w:rPr>
        <w:t>For best practices, please refer to</w:t>
      </w:r>
      <w:hyperlink r:id="rId8">
        <w:r>
          <w:rPr>
            <w:color w:val="337AB7"/>
            <w:sz w:val="22"/>
            <w:szCs w:val="22"/>
          </w:rPr>
          <w:t> </w:t>
        </w:r>
      </w:hyperlink>
      <w:hyperlink r:id="rId9">
        <w:r>
          <w:rPr>
            <w:color w:val="337AB7"/>
            <w:sz w:val="22"/>
            <w:szCs w:val="22"/>
            <w:u w:val="single"/>
          </w:rPr>
          <w:t>CITL</w:t>
        </w:r>
      </w:hyperlink>
      <w:r>
        <w:rPr>
          <w:color w:val="5D5D5D"/>
          <w:sz w:val="22"/>
          <w:szCs w:val="22"/>
        </w:rPr>
        <w:t>, IRAPS </w:t>
      </w:r>
      <w:hyperlink r:id="rId10">
        <w:r>
          <w:rPr>
            <w:color w:val="337AB7"/>
            <w:sz w:val="22"/>
            <w:szCs w:val="22"/>
            <w:u w:val="single"/>
          </w:rPr>
          <w:t>Course Learning Outcomes</w:t>
        </w:r>
      </w:hyperlink>
      <w:r>
        <w:rPr>
          <w:color w:val="5D5D5D"/>
          <w:sz w:val="22"/>
          <w:szCs w:val="22"/>
        </w:rPr>
        <w:t>; and </w:t>
      </w:r>
      <w:hyperlink r:id="rId11">
        <w:r>
          <w:rPr>
            <w:color w:val="337AB7"/>
            <w:sz w:val="22"/>
            <w:szCs w:val="22"/>
            <w:u w:val="single"/>
          </w:rPr>
          <w:t>Programming Outcomes by Division</w:t>
        </w:r>
      </w:hyperlink>
      <w:r>
        <w:rPr>
          <w:color w:val="5D5D5D"/>
          <w:sz w:val="22"/>
          <w:szCs w:val="22"/>
        </w:rPr>
        <w:t>, and </w:t>
      </w:r>
      <w:hyperlink r:id="rId12">
        <w:r>
          <w:rPr>
            <w:color w:val="337AB7"/>
            <w:sz w:val="22"/>
            <w:szCs w:val="22"/>
            <w:u w:val="single"/>
          </w:rPr>
          <w:t>DRC</w:t>
        </w:r>
      </w:hyperlink>
      <w:r>
        <w:rPr>
          <w:color w:val="5D5D5D"/>
          <w:sz w:val="22"/>
          <w:szCs w:val="22"/>
        </w:rPr>
        <w:t>, particularly for learning outcomes, course pacing, and grading structu</w:t>
      </w:r>
      <w:r>
        <w:rPr>
          <w:color w:val="5D5D5D"/>
          <w:sz w:val="22"/>
          <w:szCs w:val="22"/>
        </w:rPr>
        <w:t>res.</w:t>
      </w:r>
    </w:p>
    <w:p w14:paraId="0000001F" w14:textId="77777777" w:rsidR="00024E50" w:rsidRDefault="00CA6018">
      <w:pPr>
        <w:numPr>
          <w:ilvl w:val="0"/>
          <w:numId w:val="2"/>
        </w:numPr>
        <w:spacing w:line="480" w:lineRule="auto"/>
        <w:ind w:left="900"/>
        <w:rPr>
          <w:color w:val="000000"/>
        </w:rPr>
      </w:pPr>
      <w:r>
        <w:rPr>
          <w:sz w:val="22"/>
          <w:szCs w:val="22"/>
        </w:rPr>
        <w:t>Learning outcomes or objectives (it is recommended that at least one align with your program’s learning outcomes)</w:t>
      </w:r>
    </w:p>
    <w:p w14:paraId="00000020" w14:textId="77777777" w:rsidR="00024E50" w:rsidRDefault="00CA6018">
      <w:pPr>
        <w:numPr>
          <w:ilvl w:val="0"/>
          <w:numId w:val="2"/>
        </w:numPr>
        <w:spacing w:line="480" w:lineRule="auto"/>
        <w:ind w:left="900"/>
      </w:pPr>
      <w:r>
        <w:rPr>
          <w:sz w:val="22"/>
          <w:szCs w:val="22"/>
        </w:rPr>
        <w:t>Nature of assignments/assessments (projects, homework, written assignments, quizzes, exams, etc.) and how these connect to the course lea</w:t>
      </w:r>
      <w:r>
        <w:rPr>
          <w:sz w:val="22"/>
          <w:szCs w:val="22"/>
        </w:rPr>
        <w:t>rning objectives</w:t>
      </w:r>
    </w:p>
    <w:p w14:paraId="00000021" w14:textId="77777777" w:rsidR="00024E50" w:rsidRDefault="00CA6018">
      <w:pPr>
        <w:numPr>
          <w:ilvl w:val="0"/>
          <w:numId w:val="2"/>
        </w:numPr>
        <w:spacing w:line="480" w:lineRule="auto"/>
        <w:ind w:left="900"/>
      </w:pPr>
      <w:r>
        <w:rPr>
          <w:sz w:val="22"/>
          <w:szCs w:val="22"/>
        </w:rPr>
        <w:t>How assessments add up to a final grade</w:t>
      </w:r>
    </w:p>
    <w:p w14:paraId="00000022" w14:textId="77777777" w:rsidR="00024E50" w:rsidRDefault="00CA6018">
      <w:pPr>
        <w:numPr>
          <w:ilvl w:val="0"/>
          <w:numId w:val="2"/>
        </w:numPr>
        <w:spacing w:line="480" w:lineRule="auto"/>
        <w:ind w:left="900"/>
      </w:pPr>
      <w:r>
        <w:rPr>
          <w:sz w:val="22"/>
          <w:szCs w:val="22"/>
        </w:rPr>
        <w:t>Nature of final exam or project</w:t>
      </w:r>
    </w:p>
    <w:p w14:paraId="00000023" w14:textId="77777777" w:rsidR="00024E50" w:rsidRDefault="00CA6018">
      <w:pPr>
        <w:numPr>
          <w:ilvl w:val="0"/>
          <w:numId w:val="2"/>
        </w:numPr>
        <w:spacing w:line="480" w:lineRule="auto"/>
        <w:ind w:left="900"/>
      </w:pPr>
      <w:r>
        <w:rPr>
          <w:sz w:val="22"/>
          <w:szCs w:val="22"/>
        </w:rPr>
        <w:t>Weekly schedule for course materials</w:t>
      </w:r>
    </w:p>
    <w:p w14:paraId="00000024" w14:textId="77777777" w:rsidR="00024E50" w:rsidRDefault="00CA6018">
      <w:pPr>
        <w:numPr>
          <w:ilvl w:val="0"/>
          <w:numId w:val="2"/>
        </w:numPr>
        <w:spacing w:line="480" w:lineRule="auto"/>
        <w:ind w:left="900"/>
      </w:pPr>
      <w:r>
        <w:rPr>
          <w:sz w:val="22"/>
          <w:szCs w:val="22"/>
        </w:rPr>
        <w:t>Student hours for class: Systemwide Senate Regulation 760 specifies that one academic credit corresponds to a total of 30 hours of work over a quarter (e.g. 3 hours per week for a 10-week quarter)  </w:t>
      </w:r>
    </w:p>
    <w:p w14:paraId="00000025" w14:textId="77777777" w:rsidR="00024E50" w:rsidRDefault="00CA6018">
      <w:pPr>
        <w:numPr>
          <w:ilvl w:val="0"/>
          <w:numId w:val="2"/>
        </w:numPr>
        <w:spacing w:line="480" w:lineRule="auto"/>
        <w:ind w:left="900"/>
      </w:pPr>
      <w:r>
        <w:rPr>
          <w:sz w:val="22"/>
          <w:szCs w:val="22"/>
        </w:rPr>
        <w:t>Policies on collaboration, citation, and academic integri</w:t>
      </w:r>
      <w:r>
        <w:rPr>
          <w:sz w:val="22"/>
          <w:szCs w:val="22"/>
        </w:rPr>
        <w:t>ty with links to resources on correct practice</w:t>
      </w:r>
    </w:p>
    <w:p w14:paraId="00000026" w14:textId="77777777" w:rsidR="00024E50" w:rsidRDefault="00CA6018">
      <w:pPr>
        <w:numPr>
          <w:ilvl w:val="0"/>
          <w:numId w:val="2"/>
        </w:numPr>
        <w:spacing w:line="480" w:lineRule="auto"/>
        <w:ind w:left="900"/>
      </w:pPr>
      <w:r>
        <w:rPr>
          <w:sz w:val="22"/>
          <w:szCs w:val="22"/>
        </w:rPr>
        <w:t>Notifications for student support resources: </w:t>
      </w:r>
      <w:hyperlink r:id="rId13">
        <w:r>
          <w:rPr>
            <w:color w:val="337AB7"/>
            <w:sz w:val="22"/>
            <w:szCs w:val="22"/>
            <w:u w:val="single"/>
          </w:rPr>
          <w:t>DRC</w:t>
        </w:r>
      </w:hyperlink>
      <w:r>
        <w:rPr>
          <w:sz w:val="22"/>
          <w:szCs w:val="22"/>
        </w:rPr>
        <w:t>, </w:t>
      </w:r>
      <w:hyperlink r:id="rId14">
        <w:r>
          <w:rPr>
            <w:color w:val="337AB7"/>
            <w:sz w:val="22"/>
            <w:szCs w:val="22"/>
            <w:u w:val="single"/>
          </w:rPr>
          <w:t>CARE</w:t>
        </w:r>
      </w:hyperlink>
      <w:r>
        <w:rPr>
          <w:sz w:val="22"/>
          <w:szCs w:val="22"/>
        </w:rPr>
        <w:t>, and </w:t>
      </w:r>
      <w:hyperlink r:id="rId15">
        <w:r>
          <w:rPr>
            <w:color w:val="337AB7"/>
            <w:sz w:val="22"/>
            <w:szCs w:val="22"/>
            <w:u w:val="single"/>
          </w:rPr>
          <w:t>Title IX</w:t>
        </w:r>
      </w:hyperlink>
    </w:p>
    <w:p w14:paraId="00000027" w14:textId="77777777" w:rsidR="00024E50" w:rsidRDefault="00024E50">
      <w:pPr>
        <w:spacing w:after="720"/>
      </w:pPr>
    </w:p>
    <w:sectPr w:rsidR="00024E50">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2FDB" w14:textId="77777777" w:rsidR="00CA6018" w:rsidRDefault="00CA6018">
      <w:r>
        <w:separator/>
      </w:r>
    </w:p>
  </w:endnote>
  <w:endnote w:type="continuationSeparator" w:id="0">
    <w:p w14:paraId="201CE299" w14:textId="77777777" w:rsidR="00CA6018" w:rsidRDefault="00CA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bin">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024E50" w:rsidRDefault="00024E50">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024E50" w:rsidRDefault="00024E50">
    <w:pPr>
      <w:tabs>
        <w:tab w:val="center" w:pos="4320"/>
        <w:tab w:val="right" w:pos="8640"/>
      </w:tabs>
      <w:spacing w:after="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024E50" w:rsidRDefault="00024E5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75F1" w14:textId="77777777" w:rsidR="00CA6018" w:rsidRDefault="00CA6018">
      <w:r>
        <w:separator/>
      </w:r>
    </w:p>
  </w:footnote>
  <w:footnote w:type="continuationSeparator" w:id="0">
    <w:p w14:paraId="0F31D3D7" w14:textId="77777777" w:rsidR="00CA6018" w:rsidRDefault="00CA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024E50" w:rsidRDefault="00024E50">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024E50" w:rsidRDefault="00024E50">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024E50" w:rsidRDefault="00024E50">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5793"/>
    <w:multiLevelType w:val="multilevel"/>
    <w:tmpl w:val="E48C7B40"/>
    <w:lvl w:ilvl="0">
      <w:start w:val="1"/>
      <w:numFmt w:val="decimal"/>
      <w:lvlText w:val="%1."/>
      <w:lvlJc w:val="left"/>
      <w:pPr>
        <w:ind w:left="1440" w:firstLine="1080"/>
      </w:pPr>
      <w:rPr>
        <w:b w:val="0"/>
        <w:i w:val="0"/>
        <w:sz w:val="20"/>
        <w:szCs w:val="20"/>
        <w:vertAlign w:val="baseline"/>
      </w:rPr>
    </w:lvl>
    <w:lvl w:ilvl="1">
      <w:start w:val="1"/>
      <w:numFmt w:val="lowerLetter"/>
      <w:lvlText w:val="%2."/>
      <w:lvlJc w:val="left"/>
      <w:pPr>
        <w:ind w:left="2160" w:firstLine="1800"/>
      </w:pPr>
      <w:rPr>
        <w:sz w:val="22"/>
        <w:szCs w:val="22"/>
        <w:vertAlign w:val="baseline"/>
      </w:rPr>
    </w:lvl>
    <w:lvl w:ilvl="2">
      <w:start w:val="1"/>
      <w:numFmt w:val="decimal"/>
      <w:lvlText w:val="%3."/>
      <w:lvlJc w:val="left"/>
      <w:pPr>
        <w:ind w:left="2880" w:firstLine="2520"/>
      </w:pPr>
      <w:rPr>
        <w:vertAlign w:val="baseline"/>
      </w:rPr>
    </w:lvl>
    <w:lvl w:ilvl="3">
      <w:start w:val="1"/>
      <w:numFmt w:val="decimal"/>
      <w:lvlText w:val="%4."/>
      <w:lvlJc w:val="left"/>
      <w:pPr>
        <w:ind w:left="3600" w:firstLine="3240"/>
      </w:pPr>
      <w:rPr>
        <w:vertAlign w:val="baseline"/>
      </w:rPr>
    </w:lvl>
    <w:lvl w:ilvl="4">
      <w:start w:val="1"/>
      <w:numFmt w:val="decimal"/>
      <w:lvlText w:val="%5."/>
      <w:lvlJc w:val="left"/>
      <w:pPr>
        <w:ind w:left="4320" w:firstLine="3960"/>
      </w:pPr>
      <w:rPr>
        <w:vertAlign w:val="baseline"/>
      </w:rPr>
    </w:lvl>
    <w:lvl w:ilvl="5">
      <w:start w:val="1"/>
      <w:numFmt w:val="decimal"/>
      <w:lvlText w:val="%6."/>
      <w:lvlJc w:val="left"/>
      <w:pPr>
        <w:ind w:left="5040" w:firstLine="4680"/>
      </w:pPr>
      <w:rPr>
        <w:vertAlign w:val="baseline"/>
      </w:rPr>
    </w:lvl>
    <w:lvl w:ilvl="6">
      <w:start w:val="1"/>
      <w:numFmt w:val="decimal"/>
      <w:lvlText w:val="%7."/>
      <w:lvlJc w:val="left"/>
      <w:pPr>
        <w:ind w:left="5760" w:firstLine="5400"/>
      </w:pPr>
      <w:rPr>
        <w:vertAlign w:val="baseline"/>
      </w:rPr>
    </w:lvl>
    <w:lvl w:ilvl="7">
      <w:start w:val="1"/>
      <w:numFmt w:val="decimal"/>
      <w:lvlText w:val="%8."/>
      <w:lvlJc w:val="left"/>
      <w:pPr>
        <w:ind w:left="6480" w:firstLine="6120"/>
      </w:pPr>
      <w:rPr>
        <w:vertAlign w:val="baseline"/>
      </w:rPr>
    </w:lvl>
    <w:lvl w:ilvl="8">
      <w:start w:val="1"/>
      <w:numFmt w:val="decimal"/>
      <w:lvlText w:val="%9."/>
      <w:lvlJc w:val="left"/>
      <w:pPr>
        <w:ind w:left="7200" w:firstLine="6840"/>
      </w:pPr>
      <w:rPr>
        <w:vertAlign w:val="baseline"/>
      </w:rPr>
    </w:lvl>
  </w:abstractNum>
  <w:abstractNum w:abstractNumId="1" w15:restartNumberingAfterBreak="0">
    <w:nsid w:val="6AFB75C5"/>
    <w:multiLevelType w:val="multilevel"/>
    <w:tmpl w:val="B7AE35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50"/>
    <w:rsid w:val="00024E50"/>
    <w:rsid w:val="000B623D"/>
    <w:rsid w:val="00CA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1AE43"/>
  <w15:docId w15:val="{71CD098C-7367-ED4C-8F0C-E20EA843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720"/>
      <w:jc w:val="center"/>
    </w:pPr>
    <w:rPr>
      <w:rFonts w:ascii="Cabin" w:eastAsia="Cabin" w:hAnsi="Cabin" w:cs="Cabin"/>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itl.ucsc.edu/teaching-resources/designing-courses-syllabi/" TargetMode="External"/><Relationship Id="rId13" Type="http://schemas.openxmlformats.org/officeDocument/2006/relationships/hyperlink" Target="https://drc.ucsc.edu/faculty-and-staff/fac-staff-overview/syllabus-statement.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instruct@rt.soe.ucsc.edu" TargetMode="External"/><Relationship Id="rId12" Type="http://schemas.openxmlformats.org/officeDocument/2006/relationships/hyperlink" Target="https://drc.ucsc.edu/faculty-and-staff/fac-staff-overview/syllabus-statement.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aps.ucsc.edu/assessment/plos_by-division.html" TargetMode="External"/><Relationship Id="rId5" Type="http://schemas.openxmlformats.org/officeDocument/2006/relationships/footnotes" Target="footnotes.xml"/><Relationship Id="rId15" Type="http://schemas.openxmlformats.org/officeDocument/2006/relationships/hyperlink" Target="https://titleix.ucsc.edu/resources/syllabi-disclosure-statement.html" TargetMode="External"/><Relationship Id="rId23" Type="http://schemas.openxmlformats.org/officeDocument/2006/relationships/theme" Target="theme/theme1.xml"/><Relationship Id="rId10" Type="http://schemas.openxmlformats.org/officeDocument/2006/relationships/hyperlink" Target="https://iraps.ucsc.edu/assessment/course-learning-outcome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itl.ucsc.edu/teaching-resources/designing-courses-syllabi/" TargetMode="External"/><Relationship Id="rId14" Type="http://schemas.openxmlformats.org/officeDocument/2006/relationships/hyperlink" Target="https://care.ucsc.edu/who-we-are/about-car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Kahn</cp:lastModifiedBy>
  <cp:revision>2</cp:revision>
  <dcterms:created xsi:type="dcterms:W3CDTF">2019-10-22T23:39:00Z</dcterms:created>
  <dcterms:modified xsi:type="dcterms:W3CDTF">2019-10-22T23:40:00Z</dcterms:modified>
</cp:coreProperties>
</file>